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AB" w:rsidRPr="002639D5" w:rsidRDefault="00D504F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39D5">
        <w:rPr>
          <w:rFonts w:ascii="Times New Roman" w:hAnsi="Times New Roman" w:cs="Times New Roman"/>
          <w:b/>
          <w:sz w:val="24"/>
          <w:szCs w:val="24"/>
        </w:rPr>
        <w:t>ПРОГНОЗ РАЗВИТИЯ ЭНЕРГЕТИКИ ДО 2040 ГОДА</w:t>
      </w:r>
    </w:p>
    <w:bookmarkEnd w:id="0"/>
    <w:p w:rsidR="005B2D96" w:rsidRPr="00ED53D4" w:rsidRDefault="005B2D96" w:rsidP="00070AC8">
      <w:pPr>
        <w:pStyle w:val="a3"/>
        <w:shd w:val="clear" w:color="auto" w:fill="FFFFFF"/>
        <w:spacing w:after="0" w:line="375" w:lineRule="atLeast"/>
        <w:rPr>
          <w:color w:val="000000" w:themeColor="text1"/>
        </w:rPr>
      </w:pPr>
      <w:r w:rsidRPr="00ED53D4">
        <w:rPr>
          <w:color w:val="000000" w:themeColor="text1"/>
        </w:rPr>
        <w:t>Центр энергетики бизнес-школы «</w:t>
      </w:r>
      <w:proofErr w:type="spellStart"/>
      <w:r w:rsidRPr="00ED53D4">
        <w:rPr>
          <w:color w:val="000000" w:themeColor="text1"/>
        </w:rPr>
        <w:t>Сколково</w:t>
      </w:r>
      <w:proofErr w:type="spellEnd"/>
      <w:r w:rsidRPr="00ED53D4">
        <w:rPr>
          <w:color w:val="000000" w:themeColor="text1"/>
        </w:rPr>
        <w:t>» совместно с Институтом энергетических исследований РАН представил прогноз развития мировой энергетики до 2040 года.</w:t>
      </w:r>
      <w:r w:rsidR="00070AC8" w:rsidRPr="00ED53D4">
        <w:rPr>
          <w:color w:val="000000" w:themeColor="text1"/>
        </w:rPr>
        <w:t xml:space="preserve"> Перспективы энергетических рынков детально проанализированы с учетом технологических, политических, климатических и других факторов.</w:t>
      </w:r>
    </w:p>
    <w:p w:rsidR="00D504F3" w:rsidRPr="00ED53D4" w:rsidRDefault="00070A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3D4">
        <w:rPr>
          <w:rFonts w:ascii="Times New Roman" w:hAnsi="Times New Roman" w:cs="Times New Roman"/>
          <w:sz w:val="24"/>
          <w:szCs w:val="24"/>
        </w:rPr>
        <w:t xml:space="preserve">Данный прогноз предусматривает три сценария развития для рынков. 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</w:t>
      </w:r>
      <w:r w:rsidR="0026553F" w:rsidRPr="000B6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</w:t>
      </w:r>
      <w:r w:rsidR="006F7169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онсервативный </w:t>
      </w:r>
      <w:r w:rsidR="0026553F" w:rsidRPr="000B6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</w:t>
      </w:r>
      <w:r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текущего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 развитии технологий, так и с точки зрения гос</w:t>
      </w:r>
      <w:r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ударственной 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политики. Второй </w:t>
      </w:r>
      <w:r w:rsidR="0026553F" w:rsidRPr="000B6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</w:t>
      </w:r>
      <w:r w:rsidR="006F7169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нновационный </w:t>
      </w:r>
      <w:r w:rsidR="0026553F" w:rsidRPr="000B6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 ускорение развития технологий и </w:t>
      </w:r>
      <w:r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их бес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препятств</w:t>
      </w:r>
      <w:r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енный международный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трансфер</w:t>
      </w:r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включая продвижение возобновляемых источников энергии, поддержку электротранспорта, стимулирование </w:t>
      </w:r>
      <w:proofErr w:type="spellStart"/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И по</w:t>
      </w:r>
      <w:r w:rsidR="006F7169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сценарию </w:t>
      </w:r>
      <w:proofErr w:type="spellStart"/>
      <w:r w:rsidR="006F7169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нергоперехода</w:t>
      </w:r>
      <w:proofErr w:type="spellEnd"/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дополнительное ускорение научно-технического прогресса и фокусировка </w:t>
      </w:r>
      <w:proofErr w:type="spellStart"/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энергополитики</w:t>
      </w:r>
      <w:proofErr w:type="spellEnd"/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стран на декарбонизации</w:t>
      </w:r>
      <w:r w:rsidR="003D63E1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</w:t>
      </w:r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т.е. приоритет отдается </w:t>
      </w:r>
      <w:proofErr w:type="spellStart"/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безуглеродным</w:t>
      </w:r>
      <w:proofErr w:type="spellEnd"/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низкоуглеродным</w:t>
      </w:r>
      <w:proofErr w:type="spellEnd"/>
      <w:r w:rsidR="00071494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технологиям</w:t>
      </w:r>
      <w:r w:rsidR="00D504F3" w:rsidRPr="00ED53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0AC8" w:rsidRPr="00ED53D4" w:rsidRDefault="00AA71F5">
      <w:pPr>
        <w:rPr>
          <w:rFonts w:ascii="Times New Roman" w:hAnsi="Times New Roman" w:cs="Times New Roman"/>
          <w:sz w:val="24"/>
          <w:szCs w:val="24"/>
        </w:rPr>
      </w:pPr>
      <w:r w:rsidRPr="00ED53D4">
        <w:rPr>
          <w:rFonts w:ascii="Times New Roman" w:hAnsi="Times New Roman" w:cs="Times New Roman"/>
          <w:sz w:val="24"/>
          <w:szCs w:val="24"/>
        </w:rPr>
        <w:t xml:space="preserve">Останавливаясь </w:t>
      </w:r>
      <w:r w:rsidR="003D63E1" w:rsidRPr="00ED53D4">
        <w:rPr>
          <w:rFonts w:ascii="Times New Roman" w:hAnsi="Times New Roman" w:cs="Times New Roman"/>
          <w:sz w:val="24"/>
          <w:szCs w:val="24"/>
        </w:rPr>
        <w:t>на каждом отдельном рынке в зависимости от вида топлива</w:t>
      </w:r>
      <w:r w:rsidRPr="00ED53D4">
        <w:rPr>
          <w:rFonts w:ascii="Times New Roman" w:hAnsi="Times New Roman" w:cs="Times New Roman"/>
          <w:sz w:val="24"/>
          <w:szCs w:val="24"/>
        </w:rPr>
        <w:t xml:space="preserve">, авторы исследования указывают, что вслед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за угольным пиком уже приближается пик потребления нефти</w:t>
      </w:r>
      <w:r w:rsidR="00C6403A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.</w:t>
      </w:r>
    </w:p>
    <w:p w:rsidR="003D63E1" w:rsidRPr="00ED53D4" w:rsidRDefault="003D63E1">
      <w:pPr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Так, во </w:t>
      </w:r>
      <w:r w:rsidR="00553F87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всех сценариях Европа будет снижать объемы импорта </w:t>
      </w:r>
      <w:r w:rsidR="002639D5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с нынешних 500 млн. тонн до 220</w:t>
      </w:r>
      <w:r w:rsidR="002639D5">
        <w:rPr>
          <w:rFonts w:ascii="Times New Roman" w:eastAsia="Akrobat-Regular" w:hAnsi="Times New Roman" w:cs="Times New Roman"/>
          <w:color w:val="0D0F12"/>
          <w:sz w:val="24"/>
          <w:szCs w:val="24"/>
        </w:rPr>
        <w:t>–</w:t>
      </w:r>
      <w:r w:rsidR="00553F87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340 млн. тонн в 2040 году. США также будут все меньше зависеть от внешних поставок нефти, однако останутся нетто-импортером по Консервативному сценарию, но уже в сценарии </w:t>
      </w:r>
      <w:proofErr w:type="spellStart"/>
      <w:r w:rsidR="00553F87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Энергоперехода</w:t>
      </w:r>
      <w:proofErr w:type="spellEnd"/>
      <w:r w:rsidR="00553F87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 сводят объемы импорта практически к нулю. Роста импорта по сравнению с текущими отметками следует ожидать </w:t>
      </w:r>
      <w:r w:rsidR="00553F87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только в </w:t>
      </w:r>
      <w:r w:rsidR="000862DB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развивающихся странах азиатского</w:t>
      </w:r>
      <w:r w:rsidR="00553F87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="000862DB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региона</w:t>
      </w:r>
      <w:r w:rsidR="00553F87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. </w:t>
      </w:r>
      <w:r w:rsidR="00A44FFB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Именно за эти рынки развернется острая конкурентная борьба, в которой наиболее сильные позиции будут иметь те поставщики, которые уже сейчас обеспечили себя поставочной инфраструктурой и построили долгосрочные экономические  взаимоотношения с азиатскими партнерами </w:t>
      </w:r>
      <w:r w:rsidR="002639D5" w:rsidRPr="000B6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</w:t>
      </w:r>
      <w:r w:rsidR="00A44FFB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главным образом это страны СНГ и Ближнего Востока.</w:t>
      </w:r>
    </w:p>
    <w:p w:rsidR="001400F0" w:rsidRPr="00ED53D4" w:rsidRDefault="006F7169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Нарастить экспорт сырой нефти в Консервативном и Инновационном сценариях к 2040 году удастся только странам Ближнего Востока, однако в сценарии </w:t>
      </w:r>
      <w:proofErr w:type="spellStart"/>
      <w:r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Энергоперехода</w:t>
      </w:r>
      <w:proofErr w:type="spellEnd"/>
      <w:r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 и они будут вынуждены существенно сократить объемы </w:t>
      </w:r>
      <w:r w:rsidR="000862DB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экспорта</w:t>
      </w:r>
      <w:r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.</w:t>
      </w:r>
      <w:r w:rsidR="000862DB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 </w:t>
      </w:r>
      <w:r w:rsidR="001400F0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Страны СНГ, по мере исчерпания текущей ресурсной базы, столкнутся с неизбежностью перехода на </w:t>
      </w:r>
      <w:proofErr w:type="spellStart"/>
      <w:r w:rsidR="001400F0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трудноизвлекаемые</w:t>
      </w:r>
      <w:proofErr w:type="spellEnd"/>
      <w:r w:rsidR="001400F0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, дорогостоящие запасы и, как следствие, со снижением конкурентоспособнос</w:t>
      </w:r>
      <w:r w:rsidR="000862DB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ти по затратам на мировом рынке</w:t>
      </w:r>
      <w:r w:rsidR="001400F0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.</w:t>
      </w:r>
    </w:p>
    <w:p w:rsidR="00A44FFB" w:rsidRPr="00ED53D4" w:rsidRDefault="00E62219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В целом, по объему добычи нефти Ближневосточный регион продолжит оставаться мировым лидером с долей 30% вплоть до 2040 года. </w:t>
      </w:r>
      <w:r w:rsidR="00692E6A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В Европе и Азии ожидается спад добычи нефти по мере истощения месторождений ключевых производителей. Динамика добычи в Северной Америке во многом будет определяться инновациями в технологиях разработки нетрадиционных </w:t>
      </w:r>
      <w:proofErr w:type="spellStart"/>
      <w:r w:rsidR="00692E6A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нефтей</w:t>
      </w:r>
      <w:proofErr w:type="spellEnd"/>
      <w:r w:rsidR="00692E6A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.</w:t>
      </w:r>
    </w:p>
    <w:p w:rsidR="00A44FFB" w:rsidRPr="00ED53D4" w:rsidRDefault="00416771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lastRenderedPageBreak/>
        <w:t>По странам СНГ ожидается спад объемов добычи к 2040 году во всех сценариях по сравнению к плану на 2020 год. Однако Казахстан в виде исключения нарастит добычу с 79 млн. тонн до 87</w:t>
      </w:r>
      <w:r w:rsidR="0026553F">
        <w:rPr>
          <w:rFonts w:ascii="Times New Roman" w:eastAsia="Akrobat-Regular" w:hAnsi="Times New Roman" w:cs="Times New Roman"/>
          <w:color w:val="0D0F12"/>
          <w:sz w:val="24"/>
          <w:szCs w:val="24"/>
        </w:rPr>
        <w:t>–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133 млн. тонн.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392"/>
        <w:gridCol w:w="1943"/>
        <w:gridCol w:w="1910"/>
        <w:gridCol w:w="1843"/>
      </w:tblGrid>
      <w:tr w:rsidR="009B7210" w:rsidRPr="00ED53D4" w:rsidTr="00D345BC">
        <w:tc>
          <w:tcPr>
            <w:tcW w:w="9464" w:type="dxa"/>
            <w:gridSpan w:val="5"/>
          </w:tcPr>
          <w:p w:rsidR="009B7210" w:rsidRPr="00ED53D4" w:rsidRDefault="009B7210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Добыча нефти, млн. тонн</w:t>
            </w:r>
          </w:p>
        </w:tc>
      </w:tr>
      <w:tr w:rsidR="00D345BC" w:rsidRPr="00ED53D4" w:rsidTr="00D345BC">
        <w:tc>
          <w:tcPr>
            <w:tcW w:w="2376" w:type="dxa"/>
            <w:vMerge w:val="restart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2015</w:t>
            </w:r>
          </w:p>
        </w:tc>
        <w:tc>
          <w:tcPr>
            <w:tcW w:w="5696" w:type="dxa"/>
            <w:gridSpan w:val="3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2040</w:t>
            </w:r>
          </w:p>
        </w:tc>
      </w:tr>
      <w:tr w:rsidR="00D345BC" w:rsidRPr="00ED53D4" w:rsidTr="00D345BC">
        <w:tc>
          <w:tcPr>
            <w:tcW w:w="2376" w:type="dxa"/>
            <w:vMerge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Консервативный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Инновационный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proofErr w:type="spellStart"/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Энергопереход</w:t>
            </w:r>
            <w:proofErr w:type="spellEnd"/>
          </w:p>
        </w:tc>
      </w:tr>
      <w:tr w:rsidR="00D345BC" w:rsidRPr="00ED53D4" w:rsidTr="00D345BC">
        <w:tc>
          <w:tcPr>
            <w:tcW w:w="2376" w:type="dxa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Мир</w:t>
            </w:r>
          </w:p>
        </w:tc>
        <w:tc>
          <w:tcPr>
            <w:tcW w:w="1392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4289</w:t>
            </w: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4730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4212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3725</w:t>
            </w:r>
          </w:p>
        </w:tc>
      </w:tr>
      <w:tr w:rsidR="00D345BC" w:rsidRPr="00ED53D4" w:rsidTr="00D345BC">
        <w:tc>
          <w:tcPr>
            <w:tcW w:w="2376" w:type="dxa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Ближний Восток</w:t>
            </w:r>
          </w:p>
        </w:tc>
        <w:tc>
          <w:tcPr>
            <w:tcW w:w="1392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1391</w:t>
            </w: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1634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1403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1191</w:t>
            </w:r>
          </w:p>
        </w:tc>
      </w:tr>
      <w:tr w:rsidR="00D345BC" w:rsidRPr="00ED53D4" w:rsidTr="00D345BC">
        <w:tc>
          <w:tcPr>
            <w:tcW w:w="2376" w:type="dxa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АТР</w:t>
            </w:r>
          </w:p>
        </w:tc>
        <w:tc>
          <w:tcPr>
            <w:tcW w:w="1392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395</w:t>
            </w: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307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288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280</w:t>
            </w:r>
          </w:p>
        </w:tc>
      </w:tr>
      <w:tr w:rsidR="00D345BC" w:rsidRPr="00ED53D4" w:rsidTr="00D345BC">
        <w:tc>
          <w:tcPr>
            <w:tcW w:w="2376" w:type="dxa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Европа</w:t>
            </w:r>
          </w:p>
        </w:tc>
        <w:tc>
          <w:tcPr>
            <w:tcW w:w="1392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162</w:t>
            </w: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108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99</w:t>
            </w:r>
          </w:p>
        </w:tc>
      </w:tr>
      <w:tr w:rsidR="00D345BC" w:rsidRPr="00ED53D4" w:rsidTr="00D345BC">
        <w:tc>
          <w:tcPr>
            <w:tcW w:w="2376" w:type="dxa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Страны СНГ</w:t>
            </w:r>
          </w:p>
        </w:tc>
        <w:tc>
          <w:tcPr>
            <w:tcW w:w="1392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673</w:t>
            </w: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686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613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530</w:t>
            </w:r>
          </w:p>
        </w:tc>
      </w:tr>
      <w:tr w:rsidR="00D345BC" w:rsidRPr="00ED53D4" w:rsidTr="00D345BC">
        <w:tc>
          <w:tcPr>
            <w:tcW w:w="2376" w:type="dxa"/>
          </w:tcPr>
          <w:p w:rsidR="00D345BC" w:rsidRPr="00ED53D4" w:rsidRDefault="00D345BC">
            <w:pP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 xml:space="preserve">. </w:t>
            </w: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Казахстан</w:t>
            </w:r>
          </w:p>
        </w:tc>
        <w:tc>
          <w:tcPr>
            <w:tcW w:w="1392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79</w:t>
            </w:r>
          </w:p>
        </w:tc>
        <w:tc>
          <w:tcPr>
            <w:tcW w:w="19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133</w:t>
            </w:r>
          </w:p>
        </w:tc>
        <w:tc>
          <w:tcPr>
            <w:tcW w:w="1910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D345BC" w:rsidRPr="00ED53D4" w:rsidRDefault="00D345BC" w:rsidP="009B7210">
            <w:pPr>
              <w:jc w:val="center"/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</w:pPr>
            <w:r w:rsidRPr="00ED53D4">
              <w:rPr>
                <w:rFonts w:ascii="Times New Roman" w:eastAsia="Akrobat-Regular" w:hAnsi="Times New Roman" w:cs="Times New Roman"/>
                <w:color w:val="0D0F12"/>
                <w:sz w:val="24"/>
                <w:szCs w:val="24"/>
              </w:rPr>
              <w:t>87</w:t>
            </w:r>
          </w:p>
        </w:tc>
      </w:tr>
    </w:tbl>
    <w:p w:rsidR="00692E6A" w:rsidRPr="00ED53D4" w:rsidRDefault="00692E6A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</w:p>
    <w:p w:rsidR="00071494" w:rsidRPr="00ED53D4" w:rsidRDefault="00ED53D4" w:rsidP="00202DE1">
      <w:pPr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В прогнозном периоде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заметно 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изменится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структура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спроса на нефтепродукты 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–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на это 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по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влияет рост потребления в транспортном секторе при одновременном 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снижении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спроса на них в бытовом, коммерческом секторах и электроэнергетике, а также изменения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в химической промышленности. 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О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жидается рост спроса на моторные топлива (</w:t>
      </w:r>
      <w:proofErr w:type="spellStart"/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автобензины</w:t>
      </w:r>
      <w:proofErr w:type="spellEnd"/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, дизельное и реактивное топливо), при этом их доля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в общем объеме спроса на нефтепродукты увеличится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с 63 % в настоящее время до 70</w:t>
      </w:r>
      <w:r w:rsidR="0026553F">
        <w:rPr>
          <w:rFonts w:ascii="Times New Roman" w:eastAsia="Akrobat-Regular" w:hAnsi="Times New Roman" w:cs="Times New Roman"/>
          <w:color w:val="0D0F12"/>
          <w:sz w:val="24"/>
          <w:szCs w:val="24"/>
        </w:rPr>
        <w:t>–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75 % к 2040 г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оду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в зависимости от сценария. Одновременно из-за снижения потребления мазута в качестве флотского топлива, а также вывода генерирующих мазутных мощностей, доля прочих и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темных нефтепродуктов снизится в объемах потребления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</w:t>
      </w:r>
      <w:r w:rsidR="002639D5">
        <w:rPr>
          <w:rFonts w:ascii="Times New Roman" w:eastAsia="Akrobat-Regular" w:hAnsi="Times New Roman" w:cs="Times New Roman"/>
          <w:color w:val="0D0F12"/>
          <w:sz w:val="24"/>
          <w:szCs w:val="24"/>
        </w:rPr>
        <w:t>с 24 % в настоящее время до 8–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12 % к 2040 г</w:t>
      </w:r>
      <w:r>
        <w:rPr>
          <w:rFonts w:ascii="Times New Roman" w:eastAsia="Akrobat-Regular" w:hAnsi="Times New Roman" w:cs="Times New Roman"/>
          <w:color w:val="0D0F12"/>
          <w:sz w:val="24"/>
          <w:szCs w:val="24"/>
        </w:rPr>
        <w:t>оду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.</w:t>
      </w:r>
    </w:p>
    <w:p w:rsidR="00202DE1" w:rsidRPr="00ED53D4" w:rsidRDefault="006E2BFF" w:rsidP="00202DE1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Также </w:t>
      </w:r>
      <w:r w:rsidR="00202DE1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в исследовании даются прогнозы по ценам на нефть. Отмечается, что в </w:t>
      </w:r>
      <w:r w:rsidR="00202DE1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2013</w:t>
      </w:r>
      <w:r w:rsidR="002639D5">
        <w:rPr>
          <w:rFonts w:ascii="Times New Roman" w:eastAsia="Akrobat-Regular" w:hAnsi="Times New Roman" w:cs="Times New Roman"/>
          <w:color w:val="0D0F12"/>
          <w:sz w:val="24"/>
          <w:szCs w:val="24"/>
        </w:rPr>
        <w:t>–</w:t>
      </w:r>
      <w:r w:rsidR="00202DE1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2017 годах цены нефти демонстрировали высокую волатильность. Во многом предпосылки для этой ситуации </w:t>
      </w:r>
      <w:r w:rsidR="005224B4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были</w:t>
      </w:r>
      <w:r w:rsidR="00202DE1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заложены еще раньше, когда была создана основа для перепроизводства благодаря высоким ценам и надеждам </w:t>
      </w:r>
      <w:r w:rsidR="005224B4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на</w:t>
      </w:r>
      <w:r w:rsidR="00202DE1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большой спрос, а механизм регулирования рынка в лице ОПЕК фактически перестал работать. </w:t>
      </w:r>
      <w:r w:rsidR="005224B4"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Но в ближайшие годы решающее воздействие на ценовую ситуацию будут оказывать судьба соглашения ОПЕК+ и геополитические факторы. Авторы указывают, что </w:t>
      </w:r>
      <w:r w:rsidR="005224B4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 xml:space="preserve">соглашение ОПЕК+ является хорошим инструментом поддержания благоприятного уровня цен в среднесрочной перспективе, но в долгосрочной перспективе это может привести к ухудшению условий работы </w:t>
      </w:r>
      <w:proofErr w:type="spellStart"/>
      <w:r w:rsidR="005224B4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нефтеэкспортеров</w:t>
      </w:r>
      <w:proofErr w:type="spellEnd"/>
      <w:r w:rsidR="005224B4" w:rsidRPr="00ED53D4">
        <w:rPr>
          <w:rFonts w:ascii="Times New Roman" w:eastAsia="Akrobat-Regular" w:hAnsi="Times New Roman" w:cs="Times New Roman"/>
          <w:color w:val="000000" w:themeColor="text1"/>
          <w:sz w:val="24"/>
          <w:szCs w:val="24"/>
        </w:rPr>
        <w:t>.</w:t>
      </w:r>
    </w:p>
    <w:p w:rsidR="00202DE1" w:rsidRPr="00ED53D4" w:rsidRDefault="005224B4" w:rsidP="00202DE1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К тому же, сокращению прироста спроса на нефть в долгосрочной перспективе будет способствовать повышение стандартов </w:t>
      </w:r>
      <w:proofErr w:type="spellStart"/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энергоэффективности</w:t>
      </w:r>
      <w:proofErr w:type="spellEnd"/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и энергосбережения в странах-импортерах и активизация действий по поиску альтернативных топлив. А это должно привести к обострению конкурентной борьбы за потребителя на нефтяном рынке и к снижению нефтяных цен.</w:t>
      </w:r>
    </w:p>
    <w:p w:rsidR="00FE381A" w:rsidRPr="00ED53D4" w:rsidRDefault="00FE381A" w:rsidP="00202DE1">
      <w:pPr>
        <w:rPr>
          <w:rFonts w:ascii="Times New Roman" w:eastAsia="Akrobat-Regular" w:hAnsi="Times New Roman" w:cs="Times New Roman"/>
          <w:color w:val="0D0F12"/>
          <w:sz w:val="24"/>
          <w:szCs w:val="24"/>
        </w:rPr>
      </w:pP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В прогнозе, цены определяются исходя из расчетов равновесной цены нефти. К 2040 году цены в Консервативном сценарии достигают 110 долларов США за баррель, и это, согласно расчетам, целесообразно воспринимать как верхний оптимистичный для стран-экспортеров предел возможных перспективных рыночных цен на нефть. Параметры Инновационного сценария приводят равновесные цены на отметку в 76 долларов США за </w:t>
      </w:r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lastRenderedPageBreak/>
        <w:t xml:space="preserve">баррель, а в сценарии </w:t>
      </w:r>
      <w:proofErr w:type="spellStart"/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>Энергопереход</w:t>
      </w:r>
      <w:proofErr w:type="spellEnd"/>
      <w:r w:rsidRPr="00ED53D4">
        <w:rPr>
          <w:rFonts w:ascii="Times New Roman" w:eastAsia="Akrobat-Regular" w:hAnsi="Times New Roman" w:cs="Times New Roman"/>
          <w:color w:val="0D0F12"/>
          <w:sz w:val="24"/>
          <w:szCs w:val="24"/>
        </w:rPr>
        <w:t xml:space="preserve"> точка балансирования мирового рынка нефти опускается до 60 долларов США за баррель. Причем рыночные цены в этом сценарии могут оказываться заметно ниже равновесных, поскольку мировой рынок практически постоянно будет находиться в условиях профицита предложения над спросом вплоть до 2040 года.</w:t>
      </w:r>
    </w:p>
    <w:p w:rsidR="00071494" w:rsidRPr="00ED53D4" w:rsidRDefault="00071494" w:rsidP="00ED53D4">
      <w:pPr>
        <w:autoSpaceDE w:val="0"/>
        <w:autoSpaceDN w:val="0"/>
        <w:adjustRightInd w:val="0"/>
        <w:spacing w:after="0" w:line="240" w:lineRule="auto"/>
        <w:rPr>
          <w:rFonts w:ascii="Times New Roman" w:eastAsia="Akrobat-Regular" w:hAnsi="Times New Roman" w:cs="Times New Roman"/>
          <w:color w:val="0D0F12"/>
          <w:sz w:val="24"/>
          <w:szCs w:val="24"/>
        </w:rPr>
      </w:pPr>
    </w:p>
    <w:sectPr w:rsidR="00071494" w:rsidRPr="00ED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A2"/>
    <w:rsid w:val="00070AC8"/>
    <w:rsid w:val="00071494"/>
    <w:rsid w:val="000862DB"/>
    <w:rsid w:val="001400F0"/>
    <w:rsid w:val="001E4DC1"/>
    <w:rsid w:val="00202DE1"/>
    <w:rsid w:val="002639D5"/>
    <w:rsid w:val="0026553F"/>
    <w:rsid w:val="003D63E1"/>
    <w:rsid w:val="00416771"/>
    <w:rsid w:val="005224B4"/>
    <w:rsid w:val="00553F87"/>
    <w:rsid w:val="005B2D96"/>
    <w:rsid w:val="005F71AB"/>
    <w:rsid w:val="00692E6A"/>
    <w:rsid w:val="006E2BFF"/>
    <w:rsid w:val="006F7169"/>
    <w:rsid w:val="008B11A2"/>
    <w:rsid w:val="009B7210"/>
    <w:rsid w:val="00A44FFB"/>
    <w:rsid w:val="00AA71F5"/>
    <w:rsid w:val="00C6403A"/>
    <w:rsid w:val="00D345BC"/>
    <w:rsid w:val="00D504F3"/>
    <w:rsid w:val="00D62B2E"/>
    <w:rsid w:val="00E62219"/>
    <w:rsid w:val="00EC655A"/>
    <w:rsid w:val="00ED53D4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23EA"/>
  <w15:docId w15:val="{BC92E728-52EC-4906-9E8A-6FAB6B2E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4F3"/>
    <w:rPr>
      <w:color w:val="0000FF"/>
      <w:u w:val="single"/>
    </w:rPr>
  </w:style>
  <w:style w:type="table" w:styleId="a5">
    <w:name w:val="Table Grid"/>
    <w:basedOn w:val="a1"/>
    <w:uiPriority w:val="59"/>
    <w:rsid w:val="004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teren</cp:lastModifiedBy>
  <cp:revision>14</cp:revision>
  <dcterms:created xsi:type="dcterms:W3CDTF">2019-07-09T06:35:00Z</dcterms:created>
  <dcterms:modified xsi:type="dcterms:W3CDTF">2020-01-06T07:30:00Z</dcterms:modified>
</cp:coreProperties>
</file>